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pPr>
        <w:pStyle w:val="Title"/>
        <w:spacing w:after="120" w:line="260" w:lineRule="auto"/>
        <w:keepNext/>
      </w:pPr>
      <w:r>
        <w:rPr>
          <w:color w:val="000000"/>
          <w:sz w:val="48"/>
          <w:szCs w:val="48"/>
          <w:b/>
        </w:rPr>
        <w:t>Sairo Accessibility Conformance Report</w:t>
      </w:r>
    </w:p>
    <w:p w14:paraId="00000093" w14:textId="77777777" w:rsidR="00311D62" w:rsidRPr="00BF442D" w:rsidRDefault="00000000" w:rsidP="00BF442D">
      <w:pPr>
        <w:jc w:val="center"/>
        <w:rPr>
          <w:rFonts w:ascii="Arial" w:hAnsi="Arial" w:cs="Arial"/>
          <w:b/>
          <w:bCs/>
          <w:sz w:val="48"/>
          <w:szCs w:val="48"/>
          <w:color w:val="000000"/>
        </w:rPr>
      </w:pPr>
      <w:bookmarkStart w:id="12" w:name="_heading=h.3rdcrjn" w:colFirst="0" w:colLast="0"/>
      <w:bookmarkEnd w:id="12"/>
      <w:r w:rsidRPr="00BF442D">
        <w:rPr>
          <w:rFonts w:ascii="Arial" w:hAnsi="Arial" w:cs="Arial"/>
          <w:b/>
          <w:bCs/>
          <w:sz w:val="48"/>
          <w:szCs w:val="48"/>
          <w:color w:val="000000"/>
        </w:rPr>
        <w:t>WCAG Edition</w:t>
      </w:r>
    </w:p>
    <w:p w14:paraId="00000094" w14:textId="27AD9227" w:rsidR="00311D62" w:rsidRDefault="00000000">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(Based on VPAT</w:t>
      </w:r>
      <w:r>
        <w:rPr>
          <w:rFonts w:ascii="Times New Roman" w:eastAsia="Times New Roman" w:hAnsi="Times New Roman" w:cs="Times New Roman"/>
          <w:color w:val="000000"/>
          <w:sz w:val="24"/>
          <w:szCs w:val="24"/>
          <w:vertAlign w:val="superscript"/>
        </w:rPr>
        <w:t>®</w:t>
      </w:r>
      <w:r>
        <w:rPr>
          <w:rFonts w:ascii="Arial" w:eastAsia="Arial" w:hAnsi="Arial" w:cs="Arial"/>
          <w:b/>
          <w:color w:val="000000"/>
          <w:sz w:val="24"/>
          <w:szCs w:val="24"/>
        </w:rPr>
        <w:t xml:space="preserve"> Version 2.5</w:t>
      </w:r>
      <w:r w:rsidR="00BF442D">
        <w:rPr>
          <w:rFonts w:ascii="Arial" w:eastAsia="Arial" w:hAnsi="Arial" w:cs="Arial"/>
          <w:b/>
          <w:color w:val="000000"/>
          <w:sz w:val="24"/>
          <w:szCs w:val="24"/>
        </w:rPr>
        <w:t>Rev</w:t>
      </w:r>
      <w:r>
        <w:rPr>
          <w:rFonts w:ascii="Arial" w:eastAsia="Arial" w:hAnsi="Arial" w:cs="Arial"/>
          <w:b/>
          <w:color w:val="000000"/>
          <w:sz w:val="24"/>
          <w:szCs w:val="24"/>
        </w:rPr>
        <w:t>)</w:t>
      </w:r>
    </w:p>
    <w:p w14:paraId="00000095" w14:textId="77777777" w:rsidR="00311D62" w:rsidRPr="00BF442D" w:rsidRDefault="00000000" w:rsidP="00BF442D">
      <w:pPr>
        <w:rPr>
          <w:rFonts w:ascii="Arial" w:hAnsi="Arial" w:cs="Arial"/>
          <w:b/>
          <w:bCs/>
          <w:sz w:val="36"/>
          <w:szCs w:val="36"/>
          <w:color w:val="000000"/>
        </w:rPr>
        <w:keepNext/>
      </w:pPr>
      <w:bookmarkStart w:id="13" w:name="_heading=h.26in1rg" w:colFirst="0" w:colLast="0"/>
      <w:bookmarkEnd w:id="13"/>
      <w:r w:rsidRPr="00BF442D">
        <w:rPr>
          <w:rFonts w:ascii="Arial" w:hAnsi="Arial" w:cs="Arial"/>
          <w:b/>
          <w:bCs/>
          <w:sz w:val="36"/>
          <w:szCs w:val="36"/>
          <w:color w:val="000000"/>
        </w:rPr>
        <w:t xml:space="preserve">Name of Product/Version: </w:t>
      </w:r>
    </w:p>
    <w:p>
      <w:pPr>
        <w:pStyle w:val="Normal"/>
        <w:spacing w:after="100" w:line="260" w:lineRule="auto"/>
      </w:pPr>
      <w:r>
        <w:rPr>
          <w:color w:val="000000"/>
          <w:sz w:val="22"/>
          <w:szCs w:val="22"/>
        </w:rPr>
        <w:t>Sairo web application, package version 0.1.0. Local development revision reviewed on 6 September 2026.</w:t>
      </w:r>
    </w:p>
    <w:p w14:paraId="00000096" w14:textId="77777777" w:rsidR="00311D62" w:rsidRPr="00BF442D" w:rsidRDefault="00000000" w:rsidP="00BF442D">
      <w:pPr>
        <w:rPr>
          <w:rFonts w:ascii="Arial" w:hAnsi="Arial" w:cs="Arial"/>
          <w:b/>
          <w:bCs/>
          <w:sz w:val="36"/>
          <w:szCs w:val="36"/>
          <w:color w:val="000000"/>
        </w:rPr>
        <w:keepNext/>
      </w:pPr>
      <w:bookmarkStart w:id="14" w:name="_heading=h.lnxbz9" w:colFirst="0" w:colLast="0"/>
      <w:bookmarkEnd w:id="14"/>
      <w:r w:rsidRPr="00BF442D">
        <w:rPr>
          <w:rFonts w:ascii="Arial" w:hAnsi="Arial" w:cs="Arial"/>
          <w:b/>
          <w:bCs/>
          <w:sz w:val="36"/>
          <w:szCs w:val="36"/>
          <w:color w:val="000000"/>
        </w:rPr>
        <w:t xml:space="preserve">Report Date: </w:t>
      </w:r>
    </w:p>
    <w:p>
      <w:pPr>
        <w:pStyle w:val="Normal"/>
        <w:spacing w:after="100" w:line="260" w:lineRule="auto"/>
      </w:pPr>
      <w:r>
        <w:rPr>
          <w:color w:val="000000"/>
          <w:sz w:val="22"/>
          <w:szCs w:val="22"/>
        </w:rPr>
        <w:t>6 September 2026. Draft for manual validation; not an issued conformance report.</w:t>
      </w:r>
    </w:p>
    <w:p w14:paraId="00000097" w14:textId="77777777" w:rsidR="00311D62" w:rsidRPr="00BF442D" w:rsidRDefault="00000000" w:rsidP="00BF442D">
      <w:pPr>
        <w:rPr>
          <w:rFonts w:ascii="Arial" w:hAnsi="Arial" w:cs="Arial"/>
          <w:b/>
          <w:bCs/>
          <w:sz w:val="36"/>
          <w:szCs w:val="36"/>
          <w:color w:val="000000"/>
        </w:rPr>
        <w:keepNext/>
      </w:pPr>
      <w:r w:rsidRPr="00BF442D">
        <w:rPr>
          <w:rFonts w:ascii="Arial" w:hAnsi="Arial" w:cs="Arial"/>
          <w:b/>
          <w:bCs/>
          <w:sz w:val="36"/>
          <w:szCs w:val="36"/>
          <w:color w:val="000000"/>
        </w:rPr>
        <w:t xml:space="preserve">Product Description: </w:t>
      </w:r>
    </w:p>
    <w:p>
      <w:pPr>
        <w:pStyle w:val="Normal"/>
        <w:spacing w:after="100" w:line="260" w:lineRule="auto"/>
      </w:pPr>
      <w:r>
        <w:rPr>
          <w:color w:val="000000"/>
          <w:sz w:val="22"/>
          <w:szCs w:val="22"/>
        </w:rPr>
        <w:t>Sairo provides website-grounded answers, visitor text chat, customer workspaces, web administration and OAuth connection approval. The core interface uses HTML, CSS and JavaScript. Decorative WebGL has a still-image fallback; optional dictation requires browser microphone permission.</w:t>
      </w:r>
    </w:p>
    <w:p w14:paraId="00000098" w14:textId="77777777" w:rsidR="00311D62" w:rsidRPr="00BF442D" w:rsidRDefault="00000000" w:rsidP="00BF442D">
      <w:pPr>
        <w:rPr>
          <w:rFonts w:ascii="Arial" w:hAnsi="Arial" w:cs="Arial"/>
          <w:b/>
          <w:bCs/>
          <w:sz w:val="36"/>
          <w:szCs w:val="36"/>
          <w:color w:val="000000"/>
        </w:rPr>
        <w:keepNext/>
      </w:pPr>
      <w:bookmarkStart w:id="15" w:name="_heading=h.35nkun2" w:colFirst="0" w:colLast="0"/>
      <w:bookmarkEnd w:id="15"/>
      <w:r w:rsidRPr="00BF442D">
        <w:rPr>
          <w:rFonts w:ascii="Arial" w:hAnsi="Arial" w:cs="Arial"/>
          <w:b/>
          <w:bCs/>
          <w:sz w:val="36"/>
          <w:szCs w:val="36"/>
          <w:color w:val="000000"/>
        </w:rPr>
        <w:t xml:space="preserve">Contact Information: </w:t>
      </w:r>
    </w:p>
    <w:p>
      <w:pPr>
        <w:pStyle w:val="Normal"/>
        <w:spacing w:after="100" w:line="260" w:lineRule="auto"/>
      </w:pPr>
      <w:r>
        <w:rPr>
          <w:color w:val="000000"/>
          <w:sz w:val="22"/>
          <w:szCs w:val="22"/>
        </w:rPr>
        <w:t>Sairo accessibility feedback: https://sairo.app/contact?topic=accessibility. Choose “Accessibility issue” and include the page, task and assistive technology. Public HTML report: https://sairo.app/accessibility-report.</w:t>
      </w:r>
    </w:p>
    <w:p w14:paraId="00000099" w14:textId="77777777" w:rsidR="00311D62" w:rsidRPr="00BF442D" w:rsidRDefault="00000000" w:rsidP="00BF442D">
      <w:pPr>
        <w:rPr>
          <w:rFonts w:ascii="Arial" w:hAnsi="Arial" w:cs="Arial"/>
          <w:b/>
          <w:bCs/>
          <w:sz w:val="36"/>
          <w:szCs w:val="36"/>
          <w:color w:val="000000"/>
        </w:rPr>
        <w:keepNext/>
      </w:pPr>
      <w:bookmarkStart w:id="16" w:name="_heading=h.1ksv4uv" w:colFirst="0" w:colLast="0"/>
      <w:bookmarkEnd w:id="16"/>
      <w:r w:rsidRPr="00BF442D">
        <w:rPr>
          <w:rFonts w:ascii="Arial" w:hAnsi="Arial" w:cs="Arial"/>
          <w:b/>
          <w:bCs/>
          <w:sz w:val="36"/>
          <w:szCs w:val="36"/>
          <w:color w:val="000000"/>
        </w:rPr>
        <w:t xml:space="preserve">Notes: </w:t>
      </w:r>
    </w:p>
    <w:p>
      <w:pPr>
        <w:pStyle w:val="Normal"/>
        <w:spacing w:after="100" w:line="260" w:lineRule="auto"/>
      </w:pPr>
      <w:r>
        <w:rPr>
          <w:color w:val="000000"/>
          <w:sz w:val="22"/>
          <w:szCs w:val="22"/>
        </w:rPr>
        <w:t>Scope: the public website, account flows, customer workspace, staff web administration, public demo, Sairo visitor widget and web OAuth approval. Excluded: customer host pages, customer-provided content and branding, third-party checkout, connected applications, OS permission dialogs, and native desktop/mobile apps. Those require separate complete-page or platform assessments.</w:t>
      </w:r>
    </w:p>
    <w:p>
      <w:pPr>
        <w:pStyle w:val="Normal"/>
        <w:spacing w:after="100" w:line="260" w:lineRule="auto"/>
      </w:pPr>
      <w:r>
        <w:rPr>
          <w:color w:val="000000"/>
          <w:sz w:val="22"/>
          <w:szCs w:val="22"/>
        </w:rPr>
        <w:t>All 55 current WCAG 2.2 A and AA criteria are included, along with the template’s historical 4.1.1 row. Conformance ratings are intentionally unassigned until manual evidence is complete. Blank cells are draft fields, not “Supports” or “Not Evaluated” ratings. Do not use this draft as certification or a completed procurement ACR.</w:t>
      </w:r>
    </w:p>
    <w:p w14:paraId="0000009A" w14:textId="77777777" w:rsidR="00311D62" w:rsidRDefault="00000000" w:rsidP="00BF442D">
      <w:pPr>
        <w:keepNext/>
      </w:pPr>
      <w:bookmarkStart w:id="17" w:name="_heading=h.44sinio" w:colFirst="0" w:colLast="0"/>
      <w:bookmarkEnd w:id="17"/>
      <w:r w:rsidRPr="00BF442D">
        <w:rPr>
          <w:rFonts w:ascii="Arial" w:hAnsi="Arial" w:cs="Arial"/>
          <w:b/>
          <w:bCs/>
          <w:sz w:val="36"/>
          <w:szCs w:val="36"/>
          <w:color w:val="000000"/>
        </w:rPr>
        <w:t>Evaluation Methods Used:</w:t>
      </w:r>
      <w:r>
        <w:t xml:space="preserve"> </w:t>
      </w:r>
    </w:p>
    <w:p>
      <w:pPr>
        <w:pStyle w:val="Normal"/>
        <w:spacing w:after="100" w:line="260" w:lineRule="auto"/>
      </w:pPr>
      <w:r>
        <w:rPr>
          <w:color w:val="000000"/>
          <w:sz w:val="22"/>
          <w:szCs w:val="22"/>
        </w:rPr>
        <w:t>Source inspection, axe-core 4.11.1 checks in a Chromium-based local browser, review of hydrated interactive states, narrow-layout and text-spacing checks, and calculated contrast for shared theme colours and image-backed forms. Authenticated checks use sample records. Screen-reader user testing and a full keyboard/assistive-technology assessment have not yet been completed.</w:t>
      </w:r>
    </w:p>
    <w:p w14:paraId="0000009B" w14:textId="77777777" w:rsidR="00311D62" w:rsidRDefault="00000000">
      <w:pPr>
        <w:pStyle w:val="Heading2"/>
        <w:keepNext/>
      </w:pPr>
      <w:bookmarkStart w:id="18" w:name="_heading=h.2jxsxqh" w:colFirst="0" w:colLast="0"/>
      <w:bookmarkStart w:id="19" w:name="_Toc187080573"/>
      <w:bookmarkEnd w:id="18"/>
      <w:r>
        <w:t>Applicable Standards/Guidelines</w:t>
      </w:r>
      <w:bookmarkEnd w:id="19"/>
    </w:p>
    <w:p w14:paraId="0000009C" w14:textId="77777777" w:rsidR="00311D62" w:rsidRDefault="00000000">
      <w:r>
        <w:t>This report covers the degree of conformance for the following accessibility standard/guidelines:</w:t>
      </w:r>
    </w:p>
    <w:tbl>
      <w:tblPr>
        <w:tblStyle w:val="a3"/>
        <w:tblW w:w="12008"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Pr>
      <w:tblGrid>
        <w:gridCol w:w="7785"/>
        <w:gridCol w:w="4223"/>
      </w:tblGrid>
      <w:tr w:rsidR="00311D62" w14:paraId="788D77E9" w14:textId="77777777" w:rsidTr="00BF442D">
        <w:trPr>
          <w:tblHeader/>
        </w:trPr>
        <w:tc>
          <w:tcPr>
            <w:tcW w:w="7785" w:type="dxa"/>
            <w:shd w:val="clear" w:color="auto" w:fill="BFBFBF" w:themeFill="background1" w:themeFillShade="BF"/>
          </w:tcPr>
          <w:p w14:paraId="0000009D" w14:textId="77777777" w:rsidR="00311D62" w:rsidRPr="00BF442D" w:rsidRDefault="00000000" w:rsidP="00BF442D">
            <w:pPr>
              <w:spacing w:after="0"/>
              <w:rPr>
                <w:rFonts w:ascii="Arial" w:hAnsi="Arial" w:cs="Arial"/>
                <w:b/>
                <w:bCs/>
                <w:sz w:val="24"/>
                <w:szCs w:val="24"/>
              </w:rPr>
            </w:pPr>
            <w:bookmarkStart w:id="20" w:name="_heading=h.z337ya" w:colFirst="0" w:colLast="0"/>
            <w:bookmarkEnd w:id="20"/>
            <w:r w:rsidRPr="00BF442D">
              <w:rPr>
                <w:rFonts w:ascii="Arial" w:hAnsi="Arial" w:cs="Arial"/>
                <w:b/>
                <w:bCs/>
                <w:sz w:val="24"/>
                <w:szCs w:val="24"/>
              </w:rPr>
              <w:t>Standard/Guideline</w:t>
            </w:r>
          </w:p>
        </w:tc>
        <w:tc>
          <w:tcPr>
            <w:tcW w:w="4223" w:type="dxa"/>
            <w:shd w:val="clear" w:color="auto" w:fill="BFBFBF" w:themeFill="background1" w:themeFillShade="BF"/>
          </w:tcPr>
          <w:p w14:paraId="0000009E" w14:textId="77777777" w:rsidR="00311D62" w:rsidRPr="00BF442D" w:rsidRDefault="00000000" w:rsidP="00BF442D">
            <w:pPr>
              <w:spacing w:after="0"/>
              <w:jc w:val="center"/>
              <w:rPr>
                <w:rFonts w:ascii="Arial" w:hAnsi="Arial" w:cs="Arial"/>
                <w:b/>
                <w:bCs/>
                <w:sz w:val="24"/>
                <w:szCs w:val="24"/>
              </w:rPr>
            </w:pPr>
            <w:bookmarkStart w:id="21" w:name="_heading=h.3j2qqm3" w:colFirst="0" w:colLast="0"/>
            <w:bookmarkEnd w:id="21"/>
            <w:r w:rsidRPr="00BF442D">
              <w:rPr>
                <w:rFonts w:ascii="Arial" w:hAnsi="Arial" w:cs="Arial"/>
                <w:b/>
                <w:bCs/>
                <w:sz w:val="24"/>
                <w:szCs w:val="24"/>
              </w:rPr>
              <w:t>Included In Report</w:t>
            </w:r>
          </w:p>
        </w:tc>
      </w:tr>
      <w:tr w:rsidR="00311D62" w14:paraId="41E1474A" w14:textId="77777777" w:rsidTr="00BF442D">
        <w:tc>
          <w:tcPr>
            <w:tcW w:w="7785" w:type="dxa"/>
            <w:shd w:val="clear" w:color="auto" w:fill="auto"/>
          </w:tcPr>
          <w:p w14:paraId="000000A7" w14:textId="77777777" w:rsidR="00311D62" w:rsidRDefault="00311D62">
            <w:pPr>
              <w:spacing w:after="0" w:line="240" w:lineRule="auto"/>
            </w:pPr>
            <w:hyperlink r:id="rId22">
              <w:r>
                <w:rPr>
                  <w:color w:val="0000FF"/>
                  <w:u w:val="single"/>
                </w:rPr>
                <w:t>Web Content Accessibility Guidelines 2.2</w:t>
              </w:r>
            </w:hyperlink>
          </w:p>
        </w:tc>
        <w:tc>
          <w:tcPr>
            <w:tcW w:w="4223" w:type="dxa"/>
            <w:shd w:val="clear" w:color="auto" w:fill="auto"/>
          </w:tcPr>
          <w:p>
            <w:pPr>
              <w:pStyle w:val="Normal"/>
              <w:spacing w:after="80" w:line="260" w:lineRule="auto"/>
            </w:pPr>
            <w:r>
              <w:rPr>
                <w:color w:val="000000"/>
                <w:sz w:val="22"/>
                <w:szCs w:val="22"/>
              </w:rPr>
              <w:t>Level A: Yes</w:t>
            </w:r>
          </w:p>
          <w:p>
            <w:pPr>
              <w:pStyle w:val="Normal"/>
              <w:spacing w:after="80" w:line="260" w:lineRule="auto"/>
            </w:pPr>
            <w:r>
              <w:rPr>
                <w:color w:val="000000"/>
                <w:sz w:val="22"/>
                <w:szCs w:val="22"/>
              </w:rPr>
              <w:t>Level AA: Yes</w:t>
            </w:r>
          </w:p>
          <w:p>
            <w:pPr>
              <w:pStyle w:val="Normal"/>
              <w:spacing w:after="80" w:line="260" w:lineRule="auto"/>
            </w:pPr>
            <w:r>
              <w:rPr>
                <w:color w:val="000000"/>
                <w:sz w:val="22"/>
                <w:szCs w:val="22"/>
              </w:rPr>
              <w:t>Level AAA: No</w:t>
            </w:r>
          </w:p>
        </w:tc>
      </w:tr>
    </w:tbl>
    <w:p w14:paraId="000000AB" w14:textId="77777777" w:rsidR="00311D62" w:rsidRDefault="00000000">
      <w:pPr>
        <w:pStyle w:val="Heading2"/>
        <w:keepNext/>
      </w:pPr>
      <w:bookmarkStart w:id="22" w:name="_heading=h.1y810tw" w:colFirst="0" w:colLast="0"/>
      <w:bookmarkStart w:id="23" w:name="_Toc187080574"/>
      <w:bookmarkEnd w:id="22"/>
      <w:r>
        <w:t>Terms</w:t>
      </w:r>
      <w:bookmarkEnd w:id="23"/>
    </w:p>
    <w:p w14:paraId="000000AC" w14:textId="77777777" w:rsidR="00311D62" w:rsidRDefault="00000000">
      <w:pPr>
        <w:pBdr>
          <w:top w:val="nil"/>
          <w:left w:val="nil"/>
          <w:bottom w:val="nil"/>
          <w:right w:val="nil"/>
          <w:between w:val="nil"/>
        </w:pBdr>
        <w:tabs>
          <w:tab w:val="center" w:pos="9480"/>
        </w:tabs>
        <w:spacing w:line="240" w:lineRule="auto"/>
        <w:rPr>
          <w:rFonts w:ascii="Arial" w:eastAsia="Arial" w:hAnsi="Arial" w:cs="Arial"/>
          <w:color w:val="000000"/>
          <w:sz w:val="24"/>
          <w:szCs w:val="24"/>
        </w:rPr>
      </w:pPr>
      <w:r>
        <w:rPr>
          <w:rFonts w:ascii="Arial" w:eastAsia="Arial" w:hAnsi="Arial" w:cs="Arial"/>
          <w:color w:val="000000"/>
          <w:sz w:val="24"/>
          <w:szCs w:val="24"/>
        </w:rPr>
        <w:t>The terms used in the Conformance Level information are defined as follows:</w:t>
      </w:r>
    </w:p>
    <w:p>
      <w:pPr>
        <w:pStyle w:val="Normal"/>
        <w:spacing w:after="140" w:line="260" w:lineRule="auto"/>
      </w:pPr>
      <w:r>
        <w:rPr>
          <w:color w:val="000000"/>
          <w:sz w:val="22"/>
          <w:szCs w:val="22"/>
        </w:rPr>
        <w:t>Supports: The functionality of the product has at least one method that meets the criterion without known defects or meets with equivalent facilitation.</w:t>
      </w:r>
    </w:p>
    <w:p>
      <w:pPr>
        <w:pStyle w:val="Normal"/>
        <w:spacing w:after="140" w:line="260" w:lineRule="auto"/>
      </w:pPr>
      <w:r>
        <w:rPr>
          <w:color w:val="000000"/>
          <w:sz w:val="22"/>
          <w:szCs w:val="22"/>
        </w:rPr>
        <w:t>Partially Supports: Some functionality of the product does not meet the criterion.</w:t>
      </w:r>
    </w:p>
    <w:p>
      <w:pPr>
        <w:pStyle w:val="Normal"/>
        <w:spacing w:after="140" w:line="260" w:lineRule="auto"/>
      </w:pPr>
      <w:r>
        <w:rPr>
          <w:color w:val="000000"/>
          <w:sz w:val="22"/>
          <w:szCs w:val="22"/>
        </w:rPr>
        <w:t>Does Not Support: The majority of product functionality does not meet the criterion.</w:t>
      </w:r>
    </w:p>
    <w:p>
      <w:pPr>
        <w:pStyle w:val="Normal"/>
        <w:spacing w:after="140" w:line="260" w:lineRule="auto"/>
      </w:pPr>
      <w:r>
        <w:rPr>
          <w:color w:val="000000"/>
          <w:sz w:val="22"/>
          <w:szCs w:val="22"/>
        </w:rPr>
        <w:t>Not Applicable: The criterion is not relevant to the product.</w:t>
      </w:r>
    </w:p>
    <w:p w14:paraId="000000B4" w14:textId="20A331E4" w:rsidR="00311D62" w:rsidRDefault="00000000">
      <w:pPr>
        <w:spacing w:before="240" w:after="0" w:line="240" w:lineRule="auto"/>
        <w:rPr>
          <w:rFonts w:ascii="Arial" w:eastAsia="Arial" w:hAnsi="Arial" w:cs="Arial"/>
          <w:sz w:val="24"/>
          <w:szCs w:val="24"/>
          <w:color w:val="000000"/>
        </w:rPr>
      </w:pPr>
      <w:r>
        <w:rPr>
          <w:rFonts w:ascii="Arial" w:eastAsia="Arial" w:hAnsi="Arial" w:cs="Arial"/>
          <w:color w:val="000000"/>
          <w:sz w:val="24"/>
          <w:szCs w:val="24"/>
        </w:rPr>
        <w:t>Note: When reporting on conformance with the WCAG 2.x Success Criteria, they are scoped for full pages, complete processes, and accessibility-supported ways of using technology as documented in the</w:t>
      </w:r>
      <w:r>
        <w:rPr>
          <w:rFonts w:ascii="Arial" w:eastAsia="Arial" w:hAnsi="Arial" w:cs="Arial"/>
          <w:color w:val="000000"/>
          <w:sz w:val="24"/>
          <w:szCs w:val="24"/>
        </w:rPr>
        <w:t xml:space="preserve"> </w:t>
      </w:r>
      <w:hyperlink r:id="rId23" w:anchor="conformance-reqs">
        <w:r w:rsidR="00FD28F7">
          <w:rPr>
            <w:rFonts w:ascii="Arial" w:eastAsia="Arial" w:hAnsi="Arial" w:cs="Arial"/>
            <w:color w:val="0000FF"/>
            <w:sz w:val="24"/>
            <w:szCs w:val="24"/>
            <w:u w:val="single"/>
          </w:rPr>
          <w:t>WCAG 2.0 Conformance Requirements</w:t>
        </w:r>
      </w:hyperlink>
      <w:r>
        <w:rPr>
          <w:rFonts w:ascii="Arial" w:eastAsia="Arial" w:hAnsi="Arial" w:cs="Arial"/>
          <w:sz w:val="24"/>
          <w:szCs w:val="24"/>
          <w:color w:val="000000"/>
        </w:rPr>
        <w:t>.</w:t>
      </w:r>
    </w:p>
    <w:p w14:paraId="000000B6" w14:textId="77777777" w:rsidR="00311D62" w:rsidRDefault="00000000">
      <w:pPr>
        <w:pStyle w:val="Heading3"/>
        <w:rPr>
          <w:b w:val="0"/>
          <w:color w:val="000000"/>
        </w:rPr>
        <w:keepNext/>
      </w:pPr>
      <w:bookmarkStart w:id="26" w:name="_heading=h.2xcytpi" w:colFirst="0" w:colLast="0"/>
      <w:bookmarkEnd w:id="26"/>
      <w:r/>
      <w:r>
        <w:t>Table 1: Success Criteria, Level A</w:t>
      </w:r>
    </w:p>
    <w:p>
      <w:pPr>
        <w:pStyle w:val="Normal"/>
        <w:spacing w:after="100" w:line="260" w:lineRule="auto"/>
      </w:pPr>
      <w:r>
        <w:rPr>
          <w:color w:val="000000"/>
          <w:sz w:val="22"/>
          <w:szCs w:val="22"/>
        </w:rPr>
        <w:t>Draft: conformance ratings are unassigned. Remarks document implementation evidence and the next verification step.</w:t>
      </w:r>
    </w:p>
    <w:tbl>
      <w:tblPr>
        <w:tblW w:type="auto" w:w="0"/>
        <w:tblLayout w:type="fixed"/>
        <w:tblLook w:firstColumn="1" w:firstRow="1" w:lastColumn="0" w:lastRow="0" w:noHBand="0" w:noVBand="1" w:val="04A0"/>
      </w:tblPr>
      <w:tblGrid>
        <w:gridCol w:w="4608"/>
        <w:gridCol w:w="2520"/>
        <w:gridCol w:w="7272"/>
      </w:tblGrid>
      <w:tr>
        <w:trPr>
          <w:cantSplit/>
          <w:tblHeader/>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D0D0D0"/>
          </w:tcPr>
          <w:p>
            <w:pPr>
              <w:keepNext w:val="0"/>
              <w:spacing w:before="0" w:after="0" w:line="259" w:lineRule="auto"/>
            </w:pPr>
            <w:r>
              <w:rPr>
                <w:rFonts w:ascii="Calibri" w:hAnsi="Calibri"/>
                <w:b/>
                <w:color w:val="000000"/>
                <w:sz w:val="22"/>
              </w:rPr>
              <w:t>Criteria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D0D0D0"/>
          </w:tcPr>
          <w:p>
            <w:pPr>
              <w:keepNext w:val="0"/>
              <w:spacing w:before="0" w:after="0" w:line="259" w:lineRule="auto"/>
            </w:pPr>
            <w:r>
              <w:rPr>
                <w:rFonts w:ascii="Calibri" w:hAnsi="Calibri"/>
                <w:b/>
                <w:color w:val="000000"/>
                <w:sz w:val="22"/>
              </w:rPr>
              <w:t>Conformance Level</w:t>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D0D0D0"/>
          </w:tcPr>
          <w:p>
            <w:pPr>
              <w:keepNext w:val="0"/>
              <w:spacing w:before="0" w:after="0" w:line="259" w:lineRule="auto"/>
            </w:pPr>
            <w:r>
              <w:rPr>
                <w:rFonts w:ascii="Calibri" w:hAnsi="Calibri"/>
                <w:b/>
                <w:color w:val="000000"/>
                <w:sz w:val="22"/>
              </w:rPr>
              <w:t>Remarks and Explanations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1.1.1 Non-text Content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Product illustrations have descriptions; purely decorative icons and the WebGL scene are hidden from assistive technology. Charts include text values.</w:t>
              <w:br/>
              <w:br/>
              <w:t>Next check: Review descriptions, charts and customer-supplied logos with a screen reader.</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1.2.1 Audio-only and Video-only (Prerecorded)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reviewed web routes contain no prerecorded audio-only or video-only informational media. Optional dictation is user input.</w:t>
              <w:br/>
              <w:br/>
              <w:t>Next check: Reassess when recorded media is introduced.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1.2.2 Captions (Prerecorded)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No prerecorded synchronized media is included in the reviewed web interface. Live chat is text.</w:t>
              <w:br/>
              <w:br/>
              <w:t>Next check: Reassess captions when synchronized media is introduced.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1.2.3 Audio Description or Media Alternative (Prerecorded)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No prerecorded synchronized media is included in the reviewed web interface.</w:t>
              <w:br/>
              <w:br/>
              <w:t>Next check: Reassess media alternatives when synchronized media is introduced.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1.3.1 Info and Relationships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Pages use headings, navigation landmarks, labelled forms, fieldsets and semantic tables. Shared field hints are connected to controls.</w:t>
              <w:br/>
              <w:br/>
              <w:t>Next check: Read complex tables, grouped settings, chart values and dialog relationships with assistive technology.</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1.3.2 Meaningful Sequence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Source order follows the content sequence. Responsive tables retain explicit row, cell and header roles.</w:t>
              <w:br/>
              <w:br/>
              <w:t>Next check: Check reading order at mobile widths and with styles disabled.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1.3.3 Sensory Characteristics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Instructions name controls and describe actions in words; status indicators also include text.</w:t>
              <w:br/>
              <w:br/>
              <w:t>Next check: Review complete tasks for instructions that depend on position, shape or sound.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1.4.1 Use of Color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Validation, availability, connection and conversation states have text labels. Active navigation also exposes aria-current.</w:t>
              <w:br/>
              <w:br/>
              <w:t>Next check: Check selected states and charts in grayscale and forced-colours mode.</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1.4.2 Audio Control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reviewed pages do not start audio automatically. Dictation begins only after a user request.</w:t>
              <w:br/>
              <w:br/>
              <w:t>Next check: Reassess if autoplay media or audio notifications are added.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2.1.1 Keyboard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Actions use native buttons, links and form controls. Scrollable chat transcripts and code can receive keyboard focus.</w:t>
              <w:br/>
              <w:br/>
              <w:t>Next check: Complete every primary workflow using only the keyboard, including live handoff and OAuth consent.</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2.1.2 No Keyboard Trap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visitor chat is nonmodal and has Escape handling. Workspace navigation uses a native dialog with a close button.</w:t>
              <w:br/>
              <w:br/>
              <w:t>Next check: Confirm forward and reverse tabbing, Escape and focus restoration in all dialogs.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2.1.4 Character Key Shortcuts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Message shortcuts are handled on the focused composer; there are no global single-character shortcuts in the reviewed web source.</w:t>
              <w:br/>
              <w:br/>
              <w:t>Next check: Check speech-input interactions and focused composer shortcuts.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2.2.1 Timing Adjustable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Save confirmations remain until dismissed. Request limits and session expiry exist; long-running tasks show status and retry options.</w:t>
              <w:br/>
              <w:br/>
              <w:t>Next check: Assess expiry, recovery and preservation of unsent input through complete timed processes.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2.2.2 Pause, Stop, Hide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moving hero offers Pause motion and follows reduced-motion preferences. Other decorative effects follow the shared motion setting.</w:t>
              <w:br/>
              <w:br/>
              <w:t>Next check: Verify the pause control, all loading animations and automatic updates in a reduced-motion environment.</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2.3.1 Three Flashes or Below Threshold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Reviewed motion consists of slow scene movement and loading indicators; no deliberate flashing sequences are present.</w:t>
              <w:br/>
              <w:br/>
              <w:t>Next check: Inspect final rendered animations for flashes across supported devices.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2.4.1 Bypass Blocks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Public, account, demo and workspace shells provide skip links and main landmarks.</w:t>
              <w:br/>
              <w:br/>
              <w:t>Next check: Activate each skip link using a keyboard and screen reader; verify its landing point.</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2.4.2 Page Titled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Public pages have descriptive titles. Account, workspace and staff routes have task-specific titles rather than one shared title.</w:t>
              <w:br/>
              <w:br/>
              <w:t>Next check: Check title and page-change announcements during client navigation.</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2.4.3 Focus Order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No positive tabindex is used. Failed form submissions move focus to feedback; dialog and chat close actions restore focus.</w:t>
              <w:br/>
              <w:br/>
              <w:t>Next check: Trace focus through validation, history, dynamic replies, navigation and removed controls.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2.4.4 Link Purpose (In Context)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Links describe destinations or have their purpose provided by their containing card, table row or related text.</w:t>
              <w:br/>
              <w:br/>
              <w:t>Next check: Review repeated actions in context and the screen-reader links list.</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2.5.1 Pointer Gestures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Product actions use single-pointer activation. The decorative 3D scene is not required for any task.</w:t>
              <w:br/>
              <w:br/>
              <w:t>Next check: Verify no operation requires a multipoint or path-based gesture.</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2.5.2 Pointer Cancellation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Core actions use click or form submission, rather than completing a task on pointer-down.</w:t>
              <w:br/>
              <w:br/>
              <w:t>Next check: Test pressing, moving off a target and releasing, including touch controls.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2.5.3 Label in Name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Controls generally use their visible text as their name. Icon-only controls have explicit labels.</w:t>
              <w:br/>
              <w:br/>
              <w:t>Next check: Check voice-control matching against all visible labels and state changes.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2.5.4 Motion Actuation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No web task requires device movement, shaking or orientation gestures.</w:t>
              <w:br/>
              <w:br/>
              <w:t>Next check: Reassess when motion-controlled functionality is introduced.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3.1.1 Language of Page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document root declares English with lang="en".</w:t>
              <w:br/>
              <w:br/>
              <w:t>Next check: Verify the browser exposes the page language to assistive technology.</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3.2.1 On Focus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Focus highlights controls without submitting forms or opening destinations.</w:t>
              <w:br/>
              <w:br/>
              <w:t>Next check: Tab through complete processes and confirm there are no unexpected context changes.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3.2.2 On Input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Save and submit actions have explicit controls. Filters and example selectors update content within the page.</w:t>
              <w:br/>
              <w:br/>
              <w:t>Next check: Review scope selectors and filters for clear, predictable changes.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3.2.6 Consistent Help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Shared shells link to accessibility information and support in consistent locations for that group of pages.</w:t>
              <w:br/>
              <w:br/>
              <w:t>Next check: Confirm help remains discoverable throughout onboarding and error recovery.</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3.3.1 Error Identification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Native required and format validation is used. Server errors are written in text and shared form feedback receives focus.</w:t>
              <w:br/>
              <w:br/>
              <w:t>Next check: Test every validation branch with screen readers and check error association and recovery.</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3.3.2 Labels or Instructions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Inputs have labels, optional fields are identified, and password and message-length instructions are provided.</w:t>
              <w:br/>
              <w:br/>
              <w:t>Next check: Review all constraints before input and check screen-reader announcement of hints.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3.3.7 Redundant Entry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Forms preserve entries when server validation fails. The demo can prefill the website when continuing to signup.</w:t>
              <w:br/>
              <w:br/>
              <w:t>Next check: Follow complete onboarding, recovery and correction processes for unnecessary repeated entry.</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4.1.1 Parsing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Does not apply to WCAG 2.2</w:t>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This success criterion was removed from WCAG 2.2. The retained template row is historical and is not counted in the WCAG 2.2 total.</w:t>
              <w:br/>
              <w:br/>
              <w:t>Next check: No WCAG 2.2 rating is required.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4.1.2 Name, Role, Value (Level 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Controls expose names, roles and relevant states. Dropdown and dialog relationships use local element identifiers.</w:t>
              <w:br/>
              <w:br/>
              <w:t>Next check: Test names, roles and changing values across browser and assistive-technology combinations.</w:t>
            </w:r>
          </w:p>
        </w:tc>
      </w:tr>
    </w:tbl>
    <w:p w14:paraId="00000160" w14:textId="77777777" w:rsidR="00311D62" w:rsidRDefault="00000000">
      <w:pPr>
        <w:pStyle w:val="Heading3"/>
        <w:keepNext/>
      </w:pPr>
      <w:bookmarkStart w:id="27" w:name="_heading=h.1ci93xb" w:colFirst="0" w:colLast="0"/>
      <w:bookmarkEnd w:id="27"/>
      <w:r>
        <w:t>Table 2: Success Criteria, Level AA</w:t>
      </w:r>
    </w:p>
    <w:p>
      <w:pPr>
        <w:pStyle w:val="Normal"/>
        <w:spacing w:after="100" w:line="260" w:lineRule="auto"/>
      </w:pPr>
      <w:r>
        <w:rPr>
          <w:color w:val="000000"/>
          <w:sz w:val="22"/>
          <w:szCs w:val="22"/>
        </w:rPr>
        <w:t>Draft: conformance ratings are unassigned. Remarks document implementation evidence and the next verification step.</w:t>
      </w:r>
    </w:p>
    <w:tbl>
      <w:tblPr>
        <w:tblW w:type="auto" w:w="0"/>
        <w:tblLayout w:type="fixed"/>
        <w:tblLook w:firstColumn="1" w:firstRow="1" w:lastColumn="0" w:lastRow="0" w:noHBand="0" w:noVBand="1" w:val="04A0"/>
      </w:tblPr>
      <w:tblGrid>
        <w:gridCol w:w="4608"/>
        <w:gridCol w:w="2520"/>
        <w:gridCol w:w="7272"/>
      </w:tblGrid>
      <w:tr>
        <w:trPr>
          <w:cantSplit/>
          <w:tblHeader/>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D0D0D0"/>
          </w:tcPr>
          <w:p>
            <w:pPr>
              <w:keepNext w:val="0"/>
              <w:spacing w:before="0" w:after="0" w:line="259" w:lineRule="auto"/>
            </w:pPr>
            <w:r>
              <w:rPr>
                <w:rFonts w:ascii="Calibri" w:hAnsi="Calibri"/>
                <w:b/>
                <w:color w:val="000000"/>
                <w:sz w:val="22"/>
              </w:rPr>
              <w:t>Criteria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D0D0D0"/>
          </w:tcPr>
          <w:p>
            <w:pPr>
              <w:keepNext w:val="0"/>
              <w:spacing w:before="0" w:after="0" w:line="259" w:lineRule="auto"/>
            </w:pPr>
            <w:r>
              <w:rPr>
                <w:rFonts w:ascii="Calibri" w:hAnsi="Calibri"/>
                <w:b/>
                <w:color w:val="000000"/>
                <w:sz w:val="22"/>
              </w:rPr>
              <w:t>Conformance Level</w:t>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D0D0D0"/>
          </w:tcPr>
          <w:p>
            <w:pPr>
              <w:keepNext w:val="0"/>
              <w:spacing w:before="0" w:after="0" w:line="259" w:lineRule="auto"/>
            </w:pPr>
            <w:r>
              <w:rPr>
                <w:rFonts w:ascii="Calibri" w:hAnsi="Calibri"/>
                <w:b/>
                <w:color w:val="000000"/>
                <w:sz w:val="22"/>
              </w:rPr>
              <w:t>Remarks and Explanations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1.2.4 Captions (Live)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service supplies text chat and does not supply live synchronized audio/video content in the reviewed web routes.</w:t>
              <w:br/>
              <w:br/>
              <w:t>Next check: Reassess when live audiovisual media is introduced.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1.2.5 Audio Description (Prerecorded)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No prerecorded synchronized video is present in the reviewed web routes.</w:t>
              <w:br/>
              <w:br/>
              <w:t>Next check: Reassess audio description when prerecorded video is introduced.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1.3.4 Orientation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Layouts use responsive rules without orientation locks.</w:t>
              <w:br/>
              <w:br/>
              <w:t>Next check: Complete primary workflows in portrait and landscape, including small-height windows.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1.3.5 Identify Input Purpose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Account and contact fields use applicable name, email, URL and password autocomplete tokens.</w:t>
              <w:br/>
              <w:br/>
              <w:t>Next check: Check browser and assistive-technology identification of fields about the current user.</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1.4.3 Contrast (Minimum)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Text and preset themes have automated contrast checks. Custom low-contrast themes require explicit acknowledgement. Image-backed account surfaces have a tested opaque colour floor.</w:t>
              <w:br/>
              <w:br/>
              <w:t>Next check: Review image and gradient contexts, all interactive states and user-supplied branding.</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1.4.4 Resize text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site does not restrict browser zoom; layouts and typography use responsive sizing.</w:t>
              <w:br/>
              <w:br/>
              <w:t>Next check: Check actual 200 percent browser zoom and text-only enlargement without lost content or actions.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1.4.5 Images of Text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Interface copy is rendered as text. Logos and decorative illustrations are the remaining image content.</w:t>
              <w:br/>
              <w:br/>
              <w:t>Next check: Confirm new imagery does not carry instructions that are missing from the text.</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1.4.10 Reflow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Responsive layouts and tables adapt to narrow containers. Main content and controls are checked at 320 CSS pixels.</w:t>
              <w:br/>
              <w:br/>
              <w:t>Next check: Complete tasks at 400 percent zoom; check overlays, diagrams and long user content.</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1.4.11 Non-text Contrast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Theme focus and field boundaries are checked against adjacent surfaces. Custom contrast warnings require acknowledgement. Forced colours remain available.</w:t>
              <w:br/>
              <w:br/>
              <w:t>Next check: Review icons, chart marks, selected controls and focus against adjacent colours in all states.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1.4.12 Text Spacing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Containers generally grow with their content. A local testing control applies the WCAG text-spacing values.</w:t>
              <w:br/>
              <w:br/>
              <w:t>Next check: Inspect every workflow with increased line, paragraph, letter and word spacing; test text inside Shadow DOM too.</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1.4.13 Content on Hover or Focus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Public navigation is explicitly opened, can be dismissed, and closes when focus leaves. Browser-native tooltips are used for supplementary hints.</w:t>
              <w:br/>
              <w:br/>
              <w:t>Next check: Check all popovers with keyboard and pointer for dismissibility, persistence and hoverability.</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2.4.5 Multiple Ways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public site provides primary navigation, footer links, a complete HTML sitemap and contextual links.</w:t>
              <w:br/>
              <w:br/>
              <w:t>Next check: Confirm essential pages remain reachable through more than one route.</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2.4.6 Headings and Labels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Pages have descriptive primary headings; fields, sections and actions use task-oriented labels.</w:t>
              <w:br/>
              <w:br/>
              <w:t>Next check: Review clarity and heading order with the screen-reader heading list, including empty states.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2.4.7 Focus Visible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Shared focus-visible rules draw contrasting outlines; scoped connection styles inherit the active theme.</w:t>
              <w:br/>
              <w:br/>
              <w:t>Next check: Inspect every focused control in light, dark and forced-colours modes.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2.4.11 Focus Not Obscured (Minimum)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Page focus targets have scroll margins. The floating widget yields when it overlaps a focused page control.</w:t>
              <w:br/>
              <w:br/>
              <w:t>Next check: Check sticky headers, dialogs, notices and chat at high zoom and on short screens.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2.5.7 Dragging Movements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reviewed product has no task that requires a dragging movement.</w:t>
              <w:br/>
              <w:br/>
              <w:t>Next check: Reassess if sortable, draggable or gesture-only controls are introduced.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2.5.8 Target Size (Minimum)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Most standalone controls use generous targets; automated checks cover the WCAG minimum and spacing rules.</w:t>
              <w:br/>
              <w:br/>
              <w:t>Next check: Inspect all responsive states, inline-link exceptions and densely grouped controls.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3.1.2 Language of Parts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The authored interface is English. Visitor messages, customer knowledge and generated text can contain other languages without reliable per-passage language metadata.</w:t>
              <w:br/>
              <w:br/>
              <w:t>Next check: Evaluate multilingual messages and announce language changes correctly before assigning a rating.</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3.2.3 Consistent Navigation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Shared page shells preserve navigation order within the public site, account flows and each workspace.</w:t>
              <w:br/>
              <w:br/>
              <w:t>Next check: Confirm consistent navigation across roles and responsive breakpoints.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3.2.4 Consistent Identification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Shared components keep recurring actions, help links and controls consistently named.</w:t>
              <w:br/>
              <w:br/>
              <w:t>Next check: Review labels across error, empty, pending and completed states.</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3.3.3 Error Suggestion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Validation messages explain common corrections such as required values, format, length and password rules.</w:t>
              <w:br/>
              <w:br/>
              <w:t>Next check: Exercise server-side failures and confirm useful correction suggestions without exposing protected data.</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3.3.4 Error Prevention (Legal, Financial, Data)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Knowledge changes can be reviewed and undone where supported. Billing uses an external checkout; workspace forms save on explicit submission.</w:t>
              <w:br/>
              <w:br/>
              <w:t>Next check: Review financial and data-changing workflows, confirmations and irreversible operations end to end.</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3.3.8 Accessible Authentication (Minimum)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Sign-in allows password managers and paste. Password reveal and recovery are available; no puzzle or memory task beyond supported password entry is imposed.</w:t>
              <w:br/>
              <w:br/>
              <w:t>Next check: Complete sign-in, signup, invitation acceptance, recovery and OAuth with assistive technology and a password manager.</w:t>
            </w:r>
          </w:p>
        </w:tc>
      </w:tr>
      <w:tr>
        <w:trPr>
          <w:cantSplit/>
        </w:trPr>
        <w:tc>
          <w:tcPr>
            <w:tcW w:type="dxa" w:w="4608"/>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4.1.3 Status Messages (Level AA)</w:t>
            </w:r>
          </w:p>
        </w:tc>
        <w:tc>
          <w:tcPr>
            <w:tcW w:type="dxa" w:w="2520"/>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r>
          </w:p>
        </w:tc>
        <w:tc>
          <w:tcPr>
            <w:tcW w:type="dxa" w:w="7272"/>
            <w:tcBorders>
              <w:top w:val="single" w:sz="6" w:color="000000"/>
              <w:left w:val="single" w:sz="6" w:color="000000"/>
              <w:bottom w:val="single" w:sz="6" w:color="000000"/>
              <w:right w:val="single" w:sz="6" w:color="000000"/>
            </w:tcBorders>
            <w:tcMar>
              <w:top w:w="100" w:type="dxa"/>
              <w:left w:w="100" w:type="dxa"/>
              <w:bottom w:w="100" w:type="dxa"/>
              <w:right w:w="100" w:type="dxa"/>
            </w:tcMar>
            <w:shd w:val="clear" w:fill="FFFFFF"/>
          </w:tcPr>
          <w:p>
            <w:pPr>
              <w:keepNext w:val="0"/>
              <w:spacing w:before="0" w:after="0" w:line="259" w:lineRule="auto"/>
            </w:pPr>
            <w:r>
              <w:rPr>
                <w:rFonts w:ascii="Calibri" w:hAnsi="Calibri"/>
                <w:b w:val="0"/>
                <w:color w:val="000000"/>
                <w:sz w:val="22"/>
              </w:rPr>
              <w:t>Status and error regions expose pending, completion and failure messages. Streaming visitor replies use a separate sentence announcer; the visible log is explicitly aria-live="off".</w:t>
              <w:br/>
              <w:br/>
              <w:t>Next check: Listen for lost, repeated or excessive announcements during streaming, live chat, saves and errors.</w:t>
            </w:r>
          </w:p>
        </w:tc>
      </w:tr>
    </w:tbl>
    <w:p>
      <w:pPr>
        <w:pStyle w:val="Heading1"/>
        <w:spacing w:after="140" w:line="260" w:lineRule="auto"/>
        <w:keepNext/>
      </w:pPr>
      <w:r>
        <w:rPr>
          <w:color w:val="000000"/>
          <w:sz w:val="36"/>
          <w:szCs w:val="36"/>
          <w:b/>
        </w:rPr>
        <w:t>Manual validation and release handoff</w:t>
      </w:r>
    </w:p>
    <w:p>
      <w:pPr>
        <w:pStyle w:val="Normal"/>
        <w:spacing w:after="100" w:line="260" w:lineRule="auto"/>
      </w:pPr>
      <w:r>
        <w:rPr>
          <w:color w:val="000000"/>
          <w:sz w:val="22"/>
          <w:szCs w:val="22"/>
        </w:rPr>
        <w:t>Before assigning ratings, record the tested release, evaluator, date, device, operating system, browser and assistive-technology versions. Capture steps, expected/actual results, evidence and linked defects for every criterion and complete process.</w:t>
      </w:r>
    </w:p>
    <w:p>
      <w:pPr>
        <w:pStyle w:val="Heading2"/>
        <w:spacing w:after="100" w:line="260" w:lineRule="auto"/>
        <w:keepNext/>
      </w:pPr>
      <w:r>
        <w:rPr>
          <w:color w:val="000000"/>
          <w:sz w:val="30"/>
          <w:szCs w:val="30"/>
          <w:b/>
        </w:rPr>
        <w:t>Keyboard and focus</w:t>
      </w:r>
    </w:p>
    <w:p>
      <w:pPr>
        <w:pStyle w:val="Normal"/>
        <w:spacing w:after="100" w:line="260" w:lineRule="auto"/>
      </w:pPr>
      <w:r>
        <w:rPr>
          <w:color w:val="000000"/>
          <w:sz w:val="22"/>
          <w:szCs w:val="22"/>
        </w:rPr>
        <w:t>Complete the public navigation, demo, signup, sign-in, recovery, workspace setup, knowledge changes, live-chat handoff and OAuth consent using only the keyboard. Include errors, dialogs, collapsed navigation, asynchronous updates and recovery. Check focus order, visibility, return, and whether sticky regions obscure a focused control.</w:t>
      </w:r>
    </w:p>
    <w:p>
      <w:pPr>
        <w:pStyle w:val="Heading2"/>
        <w:spacing w:after="100" w:line="260" w:lineRule="auto"/>
        <w:keepNext/>
      </w:pPr>
      <w:r>
        <w:rPr>
          <w:color w:val="000000"/>
          <w:sz w:val="30"/>
          <w:szCs w:val="30"/>
          <w:b/>
        </w:rPr>
        <w:t>Screen readers</w:t>
      </w:r>
    </w:p>
    <w:p>
      <w:pPr>
        <w:pStyle w:val="Normal"/>
        <w:spacing w:after="100" w:line="260" w:lineRule="auto"/>
      </w:pPr>
      <w:r>
        <w:rPr>
          <w:color w:val="000000"/>
          <w:sz w:val="22"/>
          <w:szCs w:val="22"/>
        </w:rPr>
        <w:t>Use NVDA with Windows browsers, VoiceOver with Safari on macOS/iOS, and a mobile screen reader such as TalkBack. Check landmarks, headings, forms, table relationships, required fields, error feedback, sources, streaming replies and human chat announcements. Validate complete user journeys, not isolated controls.</w:t>
      </w:r>
    </w:p>
    <w:p>
      <w:pPr>
        <w:pStyle w:val="Heading2"/>
        <w:spacing w:after="100" w:line="260" w:lineRule="auto"/>
        <w:keepNext/>
      </w:pPr>
      <w:r>
        <w:rPr>
          <w:color w:val="000000"/>
          <w:sz w:val="30"/>
          <w:szCs w:val="30"/>
          <w:b/>
        </w:rPr>
        <w:t>Visual adaptation</w:t>
      </w:r>
    </w:p>
    <w:p>
      <w:pPr>
        <w:pStyle w:val="Normal"/>
        <w:spacing w:after="100" w:line="260" w:lineRule="auto"/>
      </w:pPr>
      <w:r>
        <w:rPr>
          <w:color w:val="000000"/>
          <w:sz w:val="22"/>
          <w:szCs w:val="22"/>
        </w:rPr>
        <w:t>Check 200% text enlargement, 400% browser zoom, 320 CSS pixel reflow, portrait/landscape, increased text spacing, forced colours and both workspace themes. Confirm there is no lost content or function and that horizontally scrollable tables remain keyboard accessible.</w:t>
      </w:r>
    </w:p>
    <w:p>
      <w:pPr>
        <w:pStyle w:val="Heading2"/>
        <w:spacing w:after="100" w:line="260" w:lineRule="auto"/>
        <w:keepNext/>
      </w:pPr>
      <w:r>
        <w:rPr>
          <w:color w:val="000000"/>
          <w:sz w:val="30"/>
          <w:szCs w:val="30"/>
          <w:b/>
        </w:rPr>
        <w:t>Content and state coverage</w:t>
      </w:r>
    </w:p>
    <w:p>
      <w:pPr>
        <w:pStyle w:val="Normal"/>
        <w:spacing w:after="100" w:line="260" w:lineRule="auto"/>
      </w:pPr>
      <w:r>
        <w:rPr>
          <w:color w:val="000000"/>
          <w:sz w:val="22"/>
          <w:szCs w:val="22"/>
        </w:rPr>
        <w:t>Include long answers and names, empty/populated states, loading, validation failure, expired sessions and links, permissions, consent, destructive changes, undo, billing handoff and multilingual conversation content. Assess customer installations separately with their real source material and host page.</w:t>
      </w:r>
    </w:p>
    <w:p>
      <w:pPr>
        <w:pStyle w:val="Heading2"/>
        <w:spacing w:after="100" w:line="260" w:lineRule="auto"/>
        <w:keepNext/>
      </w:pPr>
      <w:r>
        <w:rPr>
          <w:color w:val="000000"/>
          <w:sz w:val="30"/>
          <w:szCs w:val="30"/>
          <w:b/>
        </w:rPr>
        <w:t>Close and issue the report</w:t>
      </w:r>
    </w:p>
    <w:p>
      <w:pPr>
        <w:pStyle w:val="Normal"/>
        <w:spacing w:after="100" w:line="260" w:lineRule="auto"/>
      </w:pPr>
      <w:r>
        <w:rPr>
          <w:color w:val="000000"/>
          <w:sz w:val="22"/>
          <w:szCs w:val="22"/>
        </w:rPr>
        <w:t>Fix recorded barriers, rerun affected automated and manual checks, and assign Supports, Partially Supports, Does Not Support or Not Applicable from the evidence. Describe exceptions precisely. Update scope, release and date; review and approve the report before removing its draft status.</w:t>
      </w:r>
    </w:p>
    <w:sectPr w:rsidR="00311D62">
      <w:headerReference w:type="even" r:id="rId113"/>
      <w:headerReference w:type="default" r:id="rId114"/>
      <w:footerReference w:type="even" r:id="rId115"/>
      <w:footerReference w:type="default" r:id="rId116"/>
      <w:headerReference w:type="first" r:id="rId117"/>
      <w:footerReference w:type="first" r:id="rId118"/>
      <w:pgSz w:w="15840" w:h="12240" w:orient="landscape"/>
      <w:pgMar w:top="720" w:right="720" w:bottom="720" w:left="720"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42E2E" w14:textId="77777777" w:rsidR="005B4F53" w:rsidRDefault="005B4F53">
      <w:pPr>
        <w:spacing w:after="0" w:line="240" w:lineRule="auto"/>
      </w:pPr>
      <w:r>
        <w:separator/>
      </w:r>
    </w:p>
  </w:endnote>
  <w:endnote w:type="continuationSeparator" w:id="0">
    <w:p w14:paraId="3A8D5C62" w14:textId="77777777" w:rsidR="005B4F53" w:rsidRDefault="005B4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7435A237-F1AB-654D-87DA-70944FC1E9A2}"/>
  </w:font>
  <w:font w:name="Times New Roman">
    <w:panose1 w:val="02020603050405020304"/>
    <w:charset w:val="00"/>
    <w:family w:val="roman"/>
    <w:pitch w:val="variable"/>
    <w:sig w:usb0="E0002EFF" w:usb1="C000785B" w:usb2="00000009" w:usb3="00000000" w:csb0="000001FF" w:csb1="00000000"/>
    <w:embedRegular r:id="rId2" w:fontKey="{50A88207-158A-D545-8F21-6B7E1F38EBEA}"/>
    <w:embedBold r:id="rId3" w:fontKey="{DB43EA78-7458-364D-BD15-62CF781B173F}"/>
    <w:embedItalic r:id="rId4" w:fontKey="{89F6FA86-22AF-C246-99A9-E33E7955F2B1}"/>
  </w:font>
  <w:font w:name="Courier New">
    <w:panose1 w:val="02070309020205020404"/>
    <w:charset w:val="00"/>
    <w:family w:val="modern"/>
    <w:pitch w:val="fixed"/>
    <w:sig w:usb0="E0002AFF" w:usb1="C0007843" w:usb2="00000009" w:usb3="00000000" w:csb0="000001FF" w:csb1="00000000"/>
    <w:embedRegular r:id="rId5" w:fontKey="{114F5557-A9FB-BC41-B5F2-479119F444FE}"/>
  </w:font>
  <w:font w:name="Wingdings">
    <w:panose1 w:val="05000000000000000000"/>
    <w:charset w:val="4D"/>
    <w:family w:val="decorative"/>
    <w:pitch w:val="variable"/>
    <w:sig w:usb0="00000003" w:usb1="00000000" w:usb2="00000000" w:usb3="00000000" w:csb0="80000001" w:csb1="00000000"/>
    <w:embedRegular r:id="rId6" w:fontKey="{71586139-FCB1-A740-9553-06EE17D5F35F}"/>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8" w:fontKey="{CDEBF16E-4815-6945-811A-7D5D707A79DA}"/>
    <w:embedBold r:id="rId9" w:fontKey="{5FEC247A-BBA4-1C42-B6E7-B9CC42B3990B}"/>
    <w:embedBoldItalic r:id="rId10" w:fontKey="{BA770B8B-78FE-D24A-93A6-6B574CA95953}"/>
  </w:font>
  <w:font w:name="Arial">
    <w:panose1 w:val="020B0604020202020204"/>
    <w:charset w:val="00"/>
    <w:family w:val="swiss"/>
    <w:pitch w:val="variable"/>
    <w:sig w:usb0="E0002AFF" w:usb1="C0007843" w:usb2="00000009" w:usb3="00000000" w:csb0="000001FF" w:csb1="00000000"/>
    <w:embedRegular r:id="rId11" w:fontKey="{91B4035D-A7CE-3F4D-8085-06AD6211AD8E}"/>
    <w:embedBold r:id="rId12" w:fontKey="{264C4DFC-6CCF-DE46-A1D0-749FD7F8894D}"/>
    <w:embedItalic r:id="rId13" w:fontKey="{FAE96A0D-5140-9148-B994-1C60DA12DBC8}"/>
    <w:embedBoldItalic r:id="rId14" w:fontKey="{62A7DD68-742A-D642-A0F5-3B66640664EB}"/>
  </w:font>
  <w:font w:name="Cambria">
    <w:panose1 w:val="02040503050406030204"/>
    <w:charset w:val="00"/>
    <w:family w:val="roman"/>
    <w:pitch w:val="variable"/>
    <w:sig w:usb0="E00002FF" w:usb1="400004FF" w:usb2="00000000" w:usb3="00000000" w:csb0="0000019F" w:csb1="00000000"/>
    <w:embedRegular r:id="rId15" w:fontKey="{F819F903-9D27-AE46-B190-9E45CDE3B383}"/>
    <w:embedBold r:id="rId16" w:fontKey="{3B21A7BD-453C-254F-B1CD-764650DADED2}"/>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embedRegular r:id="rId18" w:fontKey="{5AC48412-E14C-AC48-B912-31E77B66EE9D}"/>
    <w:embedBold r:id="rId19" w:fontKey="{D4E01CCF-5E37-6441-9F54-98A9B0535A07}"/>
  </w:font>
  <w:font w:name="Georgia">
    <w:panose1 w:val="02040502050405020303"/>
    <w:charset w:val="00"/>
    <w:family w:val="roman"/>
    <w:pitch w:val="variable"/>
    <w:sig w:usb0="00000287" w:usb1="00000000" w:usb2="00000000" w:usb3="00000000" w:csb0="0000009F" w:csb1="00000000"/>
    <w:embedRegular r:id="rId20" w:fontKey="{FA37678F-31D0-5A41-A582-D8DC762EE8AF}"/>
    <w:embedItalic r:id="rId21" w:fontKey="{2299CD9F-8861-474D-AD6E-04A7355092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8" w14:textId="42C33AF6" w:rsidR="00311D62"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9" w14:textId="21DBF13A" w:rsidR="00311D62" w:rsidRDefault="00000000">
    <w:pPr>
      <w:pBdr>
        <w:top w:val="nil"/>
        <w:left w:val="nil"/>
        <w:bottom w:val="nil"/>
        <w:right w:val="nil"/>
        <w:between w:val="nil"/>
      </w:pBdr>
      <w:tabs>
        <w:tab w:val="center" w:pos="4680"/>
        <w:tab w:val="right" w:pos="9360"/>
      </w:tabs>
      <w:rPr>
        <w:color w:val="000000"/>
      </w:rPr>
    </w:pP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A" w14:textId="77777777" w:rsidR="00311D62" w:rsidRDefault="00311D62">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B" w14:textId="6E1BC977" w:rsidR="00311D62"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11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12</w:t>
    </w:r>
    <w:r>
      <w:rPr>
        <w:b/>
        <w:color w:val="000000"/>
        <w:sz w:val="24"/>
        <w:szCs w:val="24"/>
      </w:rPr>
      <w:fldChar w:fldCharType="end"/>
    </w:r>
  </w:p>
  <w:p w14:paraId="0000028C" w14:textId="77777777" w:rsidR="00311D62" w:rsidRDefault="00311D62">
    <w:pPr>
      <w:pBdr>
        <w:top w:val="nil"/>
        <w:left w:val="nil"/>
        <w:bottom w:val="nil"/>
        <w:right w:val="nil"/>
        <w:between w:val="nil"/>
      </w:pBdr>
      <w:tabs>
        <w:tab w:val="center" w:pos="4680"/>
        <w:tab w:val="right" w:pos="9360"/>
      </w:tabs>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D" w14:textId="77777777" w:rsidR="00311D62" w:rsidRDefault="00000000">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28E" w14:textId="2D4C8BC0" w:rsidR="00311D62" w:rsidRDefault="00000000">
    <w:pPr>
      <w:pBdr>
        <w:top w:val="nil"/>
        <w:left w:val="nil"/>
        <w:bottom w:val="nil"/>
        <w:right w:val="nil"/>
        <w:between w:val="nil"/>
      </w:pBdr>
      <w:tabs>
        <w:tab w:val="center" w:pos="4680"/>
        <w:tab w:val="right" w:pos="9360"/>
      </w:tabs>
      <w:rPr>
        <w:color w:val="000000"/>
      </w:rPr>
    </w:pPr>
    <w:r>
      <w:rPr>
        <w:color w:val="000000"/>
      </w:rPr>
      <w:t xml:space="preserve">“Voluntary Product Accessibility Template” and “VPAT” are registered </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10</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11</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81780" w14:textId="77777777" w:rsidR="005B4F53" w:rsidRDefault="005B4F53">
      <w:pPr>
        <w:spacing w:after="0" w:line="240" w:lineRule="auto"/>
      </w:pPr>
      <w:r>
        <w:separator/>
      </w:r>
    </w:p>
  </w:footnote>
  <w:footnote w:type="continuationSeparator" w:id="0">
    <w:p w14:paraId="7B782333" w14:textId="77777777" w:rsidR="005B4F53" w:rsidRDefault="005B4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5" w14:textId="77777777" w:rsidR="00311D62" w:rsidRDefault="00311D6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6" w14:textId="77777777" w:rsidR="00311D62" w:rsidRDefault="00311D6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7" w14:textId="77777777" w:rsidR="00311D62" w:rsidRDefault="00311D6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20823"/>
    <w:multiLevelType w:val="hybridMultilevel"/>
    <w:tmpl w:val="A78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D2FCC"/>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3DA093F"/>
    <w:multiLevelType w:val="multilevel"/>
    <w:tmpl w:val="DFECFD3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3" w15:restartNumberingAfterBreak="0">
    <w:nsid w:val="25BC5A67"/>
    <w:multiLevelType w:val="multilevel"/>
    <w:tmpl w:val="D7D46C80"/>
    <w:lvl w:ilvl="0">
      <w:start w:val="5"/>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26913DF"/>
    <w:multiLevelType w:val="multilevel"/>
    <w:tmpl w:val="25F8E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230979"/>
    <w:multiLevelType w:val="multilevel"/>
    <w:tmpl w:val="4774A8F8"/>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6" w15:restartNumberingAfterBreak="0">
    <w:nsid w:val="36B1546C"/>
    <w:multiLevelType w:val="multilevel"/>
    <w:tmpl w:val="11820B7A"/>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7" w15:restartNumberingAfterBreak="0">
    <w:nsid w:val="39F80D41"/>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BED2D4F"/>
    <w:multiLevelType w:val="multilevel"/>
    <w:tmpl w:val="D22A16D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9" w15:restartNumberingAfterBreak="0">
    <w:nsid w:val="3CA96D0E"/>
    <w:multiLevelType w:val="multilevel"/>
    <w:tmpl w:val="DF16D7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CE0700D"/>
    <w:multiLevelType w:val="multilevel"/>
    <w:tmpl w:val="EA7E6FD6"/>
    <w:lvl w:ilvl="0">
      <w:start w:val="5"/>
      <w:numFmt w:val="decimal"/>
      <w:lvlText w:val="%1."/>
      <w:lvlJc w:val="left"/>
      <w:pPr>
        <w:ind w:left="720" w:hanging="360"/>
      </w:pPr>
    </w:lvl>
    <w:lvl w:ilvl="1">
      <w:start w:val="1"/>
      <w:numFmt w:val="lowerLetter"/>
      <w:lvlText w:val="%2."/>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554B68A4"/>
    <w:multiLevelType w:val="multilevel"/>
    <w:tmpl w:val="3D6A5E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5BC843C2"/>
    <w:multiLevelType w:val="multilevel"/>
    <w:tmpl w:val="7682BF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D15456E"/>
    <w:multiLevelType w:val="multilevel"/>
    <w:tmpl w:val="898075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77FF3394"/>
    <w:multiLevelType w:val="multilevel"/>
    <w:tmpl w:val="F03CC6E6"/>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CB80497"/>
    <w:multiLevelType w:val="multilevel"/>
    <w:tmpl w:val="A1D2A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10336">
    <w:abstractNumId w:val="10"/>
  </w:num>
  <w:num w:numId="2" w16cid:durableId="628753376">
    <w:abstractNumId w:val="12"/>
  </w:num>
  <w:num w:numId="3" w16cid:durableId="1688173729">
    <w:abstractNumId w:val="4"/>
  </w:num>
  <w:num w:numId="4" w16cid:durableId="607543895">
    <w:abstractNumId w:val="14"/>
  </w:num>
  <w:num w:numId="5" w16cid:durableId="209922855">
    <w:abstractNumId w:val="7"/>
  </w:num>
  <w:num w:numId="6" w16cid:durableId="187790967">
    <w:abstractNumId w:val="11"/>
  </w:num>
  <w:num w:numId="7" w16cid:durableId="905340193">
    <w:abstractNumId w:val="15"/>
  </w:num>
  <w:num w:numId="8" w16cid:durableId="2137987261">
    <w:abstractNumId w:val="9"/>
  </w:num>
  <w:num w:numId="9" w16cid:durableId="1311905128">
    <w:abstractNumId w:val="3"/>
  </w:num>
  <w:num w:numId="10" w16cid:durableId="1464427964">
    <w:abstractNumId w:val="1"/>
  </w:num>
  <w:num w:numId="11" w16cid:durableId="697894799">
    <w:abstractNumId w:val="6"/>
  </w:num>
  <w:num w:numId="12" w16cid:durableId="869150303">
    <w:abstractNumId w:val="5"/>
  </w:num>
  <w:num w:numId="13" w16cid:durableId="2123448748">
    <w:abstractNumId w:val="2"/>
  </w:num>
  <w:num w:numId="14" w16cid:durableId="1800757540">
    <w:abstractNumId w:val="13"/>
  </w:num>
  <w:num w:numId="15" w16cid:durableId="997223057">
    <w:abstractNumId w:val="0"/>
  </w:num>
  <w:num w:numId="16" w16cid:durableId="1631088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D62"/>
    <w:rsid w:val="00311D62"/>
    <w:rsid w:val="00394117"/>
    <w:rsid w:val="004A186B"/>
    <w:rsid w:val="00527645"/>
    <w:rsid w:val="005B4F53"/>
    <w:rsid w:val="00790889"/>
    <w:rsid w:val="00852C64"/>
    <w:rsid w:val="00853A1E"/>
    <w:rsid w:val="009D223F"/>
    <w:rsid w:val="00BF442D"/>
    <w:rsid w:val="00C361B0"/>
    <w:rsid w:val="00D7515A"/>
    <w:rsid w:val="00E77E34"/>
    <w:rsid w:val="00FD2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3293"/>
  <w15:docId w15:val="{73E374C6-CF3A-6D44-81F4-DB5C2C167A65}"/>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FD3BC1"/>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DF6623"/>
    <w:pPr>
      <w:tabs>
        <w:tab w:val="right" w:leader="dot" w:pos="9350"/>
      </w:tabs>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paragraph" w:styleId="Revision">
    <w:name w:val="Revision"/>
    <w:hidden/>
    <w:uiPriority w:val="62"/>
    <w:rsid w:val="00F2557D"/>
  </w:style>
  <w:style w:type="character" w:customStyle="1" w:styleId="UnresolvedMention1">
    <w:name w:val="Unresolved Mention1"/>
    <w:uiPriority w:val="99"/>
    <w:semiHidden/>
    <w:unhideWhenUsed/>
    <w:rsid w:val="008E179C"/>
    <w:rPr>
      <w:color w:val="605E5C"/>
      <w:shd w:val="clear" w:color="auto" w:fill="E1DFDD"/>
    </w:rPr>
  </w:style>
  <w:style w:type="paragraph" w:styleId="ListParagraph">
    <w:name w:val="List Paragraph"/>
    <w:basedOn w:val="Normal"/>
    <w:uiPriority w:val="34"/>
    <w:qFormat/>
    <w:rsid w:val="00FD3BC1"/>
    <w:pPr>
      <w:spacing w:after="0" w:line="240" w:lineRule="auto"/>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117" Type="http://schemas.openxmlformats.org/officeDocument/2006/relationships/header" Target="header3.xml"/><Relationship Id="rId21" Type="http://schemas.openxmlformats.org/officeDocument/2006/relationships/hyperlink" Target="https://www.w3.org/TR/WCAG21"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s://www.w3.org/TR/WCAG21/"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12" Type="http://schemas.openxmlformats.org/officeDocument/2006/relationships/hyperlink" Target="https://www.w3.org/TR/WCAG22/" TargetMode="External"/><Relationship Id="rId16" Type="http://schemas.openxmlformats.org/officeDocument/2006/relationships/hyperlink" Target="https://www.w3.org/TR/UNDERSTANDING-WCAG20/conformance.html" TargetMode="External"/><Relationship Id="rId107" Type="http://schemas.openxmlformats.org/officeDocument/2006/relationships/hyperlink" Target="http://www.w3.org/TR/WCAG20/" TargetMode="External"/><Relationship Id="rId11" Type="http://schemas.openxmlformats.org/officeDocument/2006/relationships/hyperlink" Target="https://www.w3.org/TR/WCAG22/"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2/" TargetMode="External"/><Relationship Id="rId58" Type="http://schemas.openxmlformats.org/officeDocument/2006/relationships/hyperlink" Target="http://www.w3.org/TR/WCAG20/" TargetMode="External"/><Relationship Id="rId74" Type="http://schemas.openxmlformats.org/officeDocument/2006/relationships/hyperlink" Target="https://www.w3.org/TR/WCAG22/"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123" Type="http://schemas.openxmlformats.org/officeDocument/2006/relationships/customXml" Target="../customXml/item5.xml"/><Relationship Id="rId5" Type="http://schemas.openxmlformats.org/officeDocument/2006/relationships/settings" Target="settings.xml"/><Relationship Id="rId90" Type="http://schemas.openxmlformats.org/officeDocument/2006/relationships/hyperlink" Target="http://www.w3.org/TR/WCAG20/" TargetMode="External"/><Relationship Id="rId95" Type="http://schemas.openxmlformats.org/officeDocument/2006/relationships/hyperlink" Target="https://www.w3.org/TR/WCAG21/" TargetMode="External"/><Relationship Id="rId22" Type="http://schemas.openxmlformats.org/officeDocument/2006/relationships/hyperlink" Target="https://www.w3.org/TR/WCAG22/" TargetMode="External"/><Relationship Id="rId27" Type="http://schemas.openxmlformats.org/officeDocument/2006/relationships/hyperlink" Target="http://www.w3.org/TR/WCAG20/" TargetMode="External"/><Relationship Id="rId43" Type="http://schemas.openxmlformats.org/officeDocument/2006/relationships/hyperlink" Target="https://www.w3.org/TR/WCAG21/" TargetMode="External"/><Relationship Id="rId48"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113" Type="http://schemas.openxmlformats.org/officeDocument/2006/relationships/header" Target="header1.xml"/><Relationship Id="rId118" Type="http://schemas.openxmlformats.org/officeDocument/2006/relationships/footer" Target="footer5.xml"/><Relationship Id="rId80" Type="http://schemas.openxmlformats.org/officeDocument/2006/relationships/hyperlink" Target="https://www.w3.org/TR/WCAG22/" TargetMode="External"/><Relationship Id="rId85" Type="http://schemas.openxmlformats.org/officeDocument/2006/relationships/hyperlink" Target="http://www.w3.org/TR/WCAG20/" TargetMode="External"/><Relationship Id="rId12" Type="http://schemas.openxmlformats.org/officeDocument/2006/relationships/hyperlink" Target="https://www.itic.org/policy/accessibility/vpat"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59" Type="http://schemas.openxmlformats.org/officeDocument/2006/relationships/hyperlink" Target="http://www.w3.org/TR/WCAG20/" TargetMode="External"/><Relationship Id="rId103" Type="http://schemas.openxmlformats.org/officeDocument/2006/relationships/hyperlink" Target="https://www.w3.org/TR/WCAG21/" TargetMode="External"/><Relationship Id="rId108" Type="http://schemas.openxmlformats.org/officeDocument/2006/relationships/hyperlink" Target="http://www.w3.org/TR/WCAG20/" TargetMode="External"/><Relationship Id="rId54"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w3.org/TR/WCAG20/" TargetMode="External"/><Relationship Id="rId28" Type="http://schemas.openxmlformats.org/officeDocument/2006/relationships/hyperlink" Target="http://www.w3.org/TR/WCAG20/" TargetMode="External"/><Relationship Id="rId49" Type="http://schemas.openxmlformats.org/officeDocument/2006/relationships/hyperlink" Target="http://www.w3.org/TR/WCAG20/" TargetMode="External"/><Relationship Id="rId114" Type="http://schemas.openxmlformats.org/officeDocument/2006/relationships/header" Target="header2.xml"/><Relationship Id="rId119" Type="http://schemas.openxmlformats.org/officeDocument/2006/relationships/fontTable" Target="fontTable.xml"/><Relationship Id="rId44" Type="http://schemas.openxmlformats.org/officeDocument/2006/relationships/hyperlink" Target="https://www.w3.org/TR/WCAG21/" TargetMode="External"/><Relationship Id="rId60" Type="http://schemas.openxmlformats.org/officeDocument/2006/relationships/hyperlink" Target="https://www.w3.org/TR/WCAG21/" TargetMode="External"/><Relationship Id="rId65" Type="http://schemas.openxmlformats.org/officeDocument/2006/relationships/hyperlink" Target="https://www.w3.org/TR/WCAG21/" TargetMode="External"/><Relationship Id="rId81" Type="http://schemas.openxmlformats.org/officeDocument/2006/relationships/hyperlink" Target="https://www.w3.org/TR/WCAG21/" TargetMode="External"/><Relationship Id="rId86" Type="http://schemas.openxmlformats.org/officeDocument/2006/relationships/hyperlink" Target="https://www.w3.org/TR/WCAG21/" TargetMode="External"/><Relationship Id="rId4" Type="http://schemas.openxmlformats.org/officeDocument/2006/relationships/styles" Target="styles.xml"/><Relationship Id="rId9" Type="http://schemas.openxmlformats.org/officeDocument/2006/relationships/hyperlink" Target="http://www.w3.org/TR/2008/REC-WCAG20-20081211" TargetMode="External"/><Relationship Id="rId13" Type="http://schemas.openxmlformats.org/officeDocument/2006/relationships/hyperlink" Target="http://www.w3.org/TR/2008/REC-WCAG20-20081211" TargetMode="External"/><Relationship Id="rId18" Type="http://schemas.openxmlformats.org/officeDocument/2006/relationships/footer" Target="footer1.xml"/><Relationship Id="rId39" Type="http://schemas.openxmlformats.org/officeDocument/2006/relationships/hyperlink" Target="http://www.w3.org/TR/WCAG20/" TargetMode="External"/><Relationship Id="rId10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2/" TargetMode="External"/><Relationship Id="rId55" Type="http://schemas.openxmlformats.org/officeDocument/2006/relationships/hyperlink" Target="https://www.w3.org/WAI/WCAG20/errata/" TargetMode="External"/><Relationship Id="rId76" Type="http://schemas.openxmlformats.org/officeDocument/2006/relationships/hyperlink" Target="http://www.w3.org/TR/WCAG20/" TargetMode="External"/><Relationship Id="rId97" Type="http://schemas.openxmlformats.org/officeDocument/2006/relationships/hyperlink" Target="https://www.w3.org/TR/WCAG21/" TargetMode="External"/><Relationship Id="rId104" Type="http://schemas.openxmlformats.org/officeDocument/2006/relationships/hyperlink" Target="https://www.w3.org/TR/WCAG21/"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1/" TargetMode="External"/><Relationship Id="rId66" Type="http://schemas.openxmlformats.org/officeDocument/2006/relationships/hyperlink" Target="https://www.w3.org/TR/WCAG21/" TargetMode="External"/><Relationship Id="rId87" Type="http://schemas.openxmlformats.org/officeDocument/2006/relationships/hyperlink" Target="http://www.w3.org/TR/WCAG20/" TargetMode="External"/><Relationship Id="rId110" Type="http://schemas.openxmlformats.org/officeDocument/2006/relationships/hyperlink" Target="http://www.w3.org/TR/WCAG20/" TargetMode="External"/><Relationship Id="rId115" Type="http://schemas.openxmlformats.org/officeDocument/2006/relationships/footer" Target="footer3.xml"/><Relationship Id="rId61" Type="http://schemas.openxmlformats.org/officeDocument/2006/relationships/hyperlink" Target="https://www.w3.org/TR/WCAG21/" TargetMode="External"/><Relationship Id="rId82" Type="http://schemas.openxmlformats.org/officeDocument/2006/relationships/hyperlink" Target="http://www.w3.org/TR/WCAG20/" TargetMode="External"/><Relationship Id="rId19" Type="http://schemas.openxmlformats.org/officeDocument/2006/relationships/footer" Target="footer2.xml"/><Relationship Id="rId14" Type="http://schemas.openxmlformats.org/officeDocument/2006/relationships/hyperlink" Target="https://www.w3.org/TR/WCAG21"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WAI/WCAG21/errata/"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www.w3.org/TR/WCAG20/" TargetMode="External"/><Relationship Id="rId8" Type="http://schemas.openxmlformats.org/officeDocument/2006/relationships/endnotes" Target="endnotes.xml"/><Relationship Id="rId51" Type="http://schemas.openxmlformats.org/officeDocument/2006/relationships/hyperlink" Target="http://www.w3.org/TR/WCAG20/" TargetMode="External"/><Relationship Id="rId72" Type="http://schemas.openxmlformats.org/officeDocument/2006/relationships/hyperlink" Target="https://www.w3.org/TR/WCAG22/" TargetMode="External"/><Relationship Id="rId93" Type="http://schemas.openxmlformats.org/officeDocument/2006/relationships/hyperlink" Target="http://www.w3.org/TR/WCAG20/" TargetMode="External"/><Relationship Id="rId98" Type="http://schemas.openxmlformats.org/officeDocument/2006/relationships/hyperlink" Target="http://www.w3.org/TR/WCAG20/" TargetMode="External"/><Relationship Id="rId121" Type="http://schemas.openxmlformats.org/officeDocument/2006/relationships/customXml" Target="../customXml/item3.xml"/><Relationship Id="rId3" Type="http://schemas.openxmlformats.org/officeDocument/2006/relationships/numbering" Target="numbering.xml"/><Relationship Id="rId25" Type="http://schemas.openxmlformats.org/officeDocument/2006/relationships/hyperlink" Target="http://www.w3.org/TR/WCAG20/" TargetMode="External"/><Relationship Id="rId46" Type="http://schemas.openxmlformats.org/officeDocument/2006/relationships/hyperlink" Target="https://www.w3.org/TR/WCAG21/" TargetMode="External"/><Relationship Id="rId67" Type="http://schemas.openxmlformats.org/officeDocument/2006/relationships/hyperlink" Target="https://www.w3.org/TR/WCAG21/" TargetMode="External"/><Relationship Id="rId116" Type="http://schemas.openxmlformats.org/officeDocument/2006/relationships/footer" Target="footer4.xml"/><Relationship Id="rId20" Type="http://schemas.openxmlformats.org/officeDocument/2006/relationships/hyperlink" Target="http://www.w3.org/TR/2008/REC-WCAG20-20081211" TargetMode="External"/><Relationship Id="rId41" Type="http://schemas.openxmlformats.org/officeDocument/2006/relationships/hyperlink" Target="http://www.w3.org/TR/WCAG20/" TargetMode="External"/><Relationship Id="rId62"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111" Type="http://schemas.openxmlformats.org/officeDocument/2006/relationships/hyperlink" Target="http://www.w3.org/TR/WCAG20/" TargetMode="External"/><Relationship Id="rId15" Type="http://schemas.openxmlformats.org/officeDocument/2006/relationships/hyperlink" Target="https://www.w3.org/TR/WCAG22/" TargetMode="External"/><Relationship Id="rId36"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hyperlink" Target="http://www.w3.org/TR/WCAG20/" TargetMode="External"/><Relationship Id="rId10" Type="http://schemas.openxmlformats.org/officeDocument/2006/relationships/hyperlink" Target="https://www.w3.org/TR/WCAG21" TargetMode="External"/><Relationship Id="rId31" Type="http://schemas.openxmlformats.org/officeDocument/2006/relationships/hyperlink" Target="http://www.w3.org/TR/WCAG20/" TargetMode="External"/><Relationship Id="rId52" Type="http://schemas.openxmlformats.org/officeDocument/2006/relationships/hyperlink" Target="http://www.w3.org/TR/WCAG20/" TargetMode="External"/><Relationship Id="rId73" Type="http://schemas.openxmlformats.org/officeDocument/2006/relationships/hyperlink" Target="https://www.w3.org/TR/WCAG22/" TargetMode="External"/><Relationship Id="rId78"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www.w3.org/TR/WCAG20/" TargetMode="External"/><Relationship Id="rId101" Type="http://schemas.openxmlformats.org/officeDocument/2006/relationships/hyperlink" Target="https://www.w3.org/TR/WCAG22/" TargetMode="External"/><Relationship Id="rId122"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gwP/5/4R6gMgL6FVxdJworNmig==">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Is8CCgp0ZXh0L3BsYWluEsACVGhlIG90aGVyIGVkaXRpb25zIHVzZSDigJxTdGFuZGFyZHMgb3IgR3VpZGVsaW5lIHRhYmxlc+KAnS4gSXMgaXQgaW50ZW50aW9uYWwgdG8gdXNlIG9ubHkg4oCcR3VpZGVsaW5l4oCdIGhlcmUgYXMgaXTigJlzIHRoZSBXQ0FHIGVkaXRpb24gKGFuZCBzaG91bGQgbm90IGNvbnRhaW4gYW55IG90aGVyIHN0YW5kYXJkcyk/IApUaGUgdGVybSDigJxTdGFuZGFyZHMvR3VpZGVsaW5lc+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KAnSB0aHJvdWdob3V0IHRoaXMgZG9jdW1lbnQsIGZvciBncmVhdGVyIGNvbnNpc3RlbmN5LCBhbmQgdG8gYXZvaWQgY29uZnVzaW9uPyK0AQoKdGV4dC9wbGFpbhKlAVNob3VsZCB3ZSBjb25zaWRlciBjaGFuZ2luZyB0aGUg4oCcU3RhbmRhcmRzL0d1ZGllbGluZXPigJ0gdGVybWlub2xvZ3kgdG8g4oCcR3VpZGVsaW5lc+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sAEAuAEBGOCRgOitMiCYrrKFtTIwAEIIa2l4LmNtdDIizAMKC0FBQUJYOXRRaGNNEvUCCgtBQUFCWDl0UWhjTRILQUFBQlg5dFFoY00aDQoJdGV4dC9odG1sEgAiDgoKdGV4dC9wbGFpbhIAKkMKClN0ZXZlIEtlcnIaNS8vc3NsLmdzdGF0aWMuY29tL2RvY3MvY29tbW9uL2JsdWVfc2lsaG91ZXR0ZTk2LTAucG5nMMD++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vjorTIg4c+G5LIyMABCNXN1Z2dlc3RJZEltcG9ydGY0MDgwMTI5LThkZDAtNDRhMy1hZmJkLTJlN2RkNmE0NGI1MF80IqkDCgtBQUFCWDl0UWhidxL/AgoLQUFBQlg5dFFoYncSC0FBQUJYOXRRaGJ3Gj4KCXRleHQvaHRtbBIxVGhpcyB3YXMgc3R5bGVkIGFzIGEgbGluaywgYnV0IGl0IHdhcyBub3QgYSBsaW5rLiI/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OyMjiI/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6wAQC4AQEY4KKh6a0yIIj9l+OyMjAAQghraXguY210MyKwAwoLQUFBQlg5dFFoYnMS2AIKC0FBQUJYOXRRaGJzEgtBQUFCWDl0UWhicxoNCgl0ZXh0L2h0bWwSACIOCgp0ZXh0L3BsYWluEgAqQwoKU3RldmUgS2Vycho1Ly9zc2wuZ3N0YXRpYy5jb20vZG9jcy9jb21tb24vYmx1ZV9zaWxob3VldHRlOTYtMC5wbmcwoL6A6q0yOKC+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+2tMnJFCgpTdGV2ZSBLZXJyGjcKNS8vc3NsLmdzdGF0aWMuY29tL2RvY3MvY29tbW9uL2JsdWVfc2lsaG91ZXR0ZTk2LTAucG5neACIAQGaAQYIABAAGACqAUgSRlN1Z2dlc3RlZCBkZWZpbml0aW9uIGFkanVzdG1lbnQsIGJhc2VkIG9uIGNvbmNlcm5zIGluIGFub3RoZXIgY29tbWVudC6wAQC4AQEY4KiT7a0yIOCok+2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+0am1MkIUc3VnZ2VzdC5wZHhkYWdicHJyajAi6AcKC0FBQUJZSk9rYkdzErIHCgtBQUFCWUpPa2JHcxILQUFBQllKT2tiR3MaDQoJdGV4dC9odG1sEgAiDgoKdGV4dC9wbGFpbhIAKhsiFTEwMjUxNDIzMTA1NTA3ODQzMjU0MigAOAAwzMjN47IyOLGW0+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KyMjiQ0obksjJKRgokYXBwbGljYXRpb24vdm5kLmdvb2dsZS1hcHBzLmRvY3MubWRzGh7C19rkARgKFgoICgIyNRABGAASCAoCMTYQARgAGAFaDGlxc2Q2YWIyejVwcnICIAB4AIIBFHN1Z2dlc3QuaTBwbTk1d3Y1aW1umgEGCAAQABgAsAEAuAEBGOyH1+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KyMjjE1IbksjJKRgokYXBwbGljYXRpb24vdm5kLmdvb2dsZS1hcHBzLmRvY3MubWRzGh7C19rkARgKFgoICgIyNRABGAASCAoCMTYQARgAGAFaDGw2NWRlZ2FkZjU2ZHICIAB4AIIBFHN1Z2dlc3QucXpzY3RtM29lOTlxmgEGCAAQABgAsAEAuAEBGJep1+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ptTIg+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aAQYIABAAGAAY5fTHqbUyINTOy6m1MkIUc3VnZ2VzdC54aXhwNWJicG85NW8imQQKC0FBQUJYOXRRaGNnEsEDCgtBQUFCWDl0UWhjZxILQUFBQlg5dFFoY2caDQoJdGV4dC9odG1sEgAiDgoKdGV4dC9wbGFpbhIAKkMKClN0ZXZlIEtlcnIaNS8vc3NsLmdzdGF0aWMuY29tL2RvY3MvY29tbW9uL2JsdWVfc2lsaG91ZXR0ZTk2LTAucG5nMODu2+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1ba2d47-516d-48e7-8279-f3bd728fc52c">
      <Terms xmlns="http://schemas.microsoft.com/office/infopath/2007/PartnerControls"/>
    </lcf76f155ced4ddcb4097134ff3c332f>
    <TaxCatchAll xmlns="e64891f7-166a-40e5-a6bf-ea191d3c0f8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CFADD4-214E-B045-9B5C-4CB8ECF3961B}">
  <ds:schemaRefs>
    <ds:schemaRef ds:uri="http://schemas.openxmlformats.org/officeDocument/2006/bibliography"/>
  </ds:schemaRefs>
</ds:datastoreItem>
</file>

<file path=customXml/itemProps3.xml><?xml version="1.0" encoding="utf-8"?>
<ds:datastoreItem xmlns:ds="http://schemas.openxmlformats.org/officeDocument/2006/customXml" ds:itemID="{04E991F9-C435-4E6C-BF8B-E2D12A134F9D}"/>
</file>

<file path=customXml/itemProps4.xml><?xml version="1.0" encoding="utf-8"?>
<ds:datastoreItem xmlns:ds="http://schemas.openxmlformats.org/officeDocument/2006/customXml" ds:itemID="{F1676A8E-54F6-4EBF-8A51-2C96F97590B9}"/>
</file>

<file path=customXml/itemProps5.xml><?xml version="1.0" encoding="utf-8"?>
<ds:datastoreItem xmlns:ds="http://schemas.openxmlformats.org/officeDocument/2006/customXml" ds:itemID="{7865A87F-75FD-49DA-BDFD-C318A68F5866}"/>
</file>

<file path=docProps/app.xml><?xml version="1.0" encoding="utf-8"?>
<Properties xmlns="http://schemas.openxmlformats.org/officeDocument/2006/extended-properties" xmlns:vt="http://schemas.openxmlformats.org/officeDocument/2006/docPropsVTypes">
  <Template>Normal.dotm</Template>
  <TotalTime>84</TotalTime>
  <Pages>15</Pages>
  <Words>4231</Words>
  <Characters>24120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Sairo</dc:creator>
  <cp:lastModifiedBy>Sairo</cp:lastModifiedBy>
  <cp:revision>7</cp:revision>
  <dcterms:created xsi:type="dcterms:W3CDTF">2025-01-06T23:25:00Z</dcterms:created>
  <dcterms:modified xsi:type="dcterms:W3CDTF">2025-02-04T10:12:00Z</dcterms:modified>
  <dc:title>Sairo Accessibility Conformance Report — draft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0x010100DA2001979176C843871DE05D526C067A</vt:lpwstr>
  </property>
</Properties>
</file>